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Dichiarazione assolvimento obblighi di pubblicazione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Tahoma" w:hAnsi="Tahoma" w:cs="Tahoma" w:eastAsia="Tahoma"/>
          <w:color w:val="auto"/>
          <w:spacing w:val="0"/>
          <w:position w:val="0"/>
          <w:sz w:val="28"/>
          <w:shd w:fill="auto" w:val="clear"/>
        </w:rPr>
        <w:t xml:space="preserve">L'Ordine Veterinari della provincia di Rvaenna precisa che data la peculiarità dell’ente nonché le articolazioni sul territorio, in luogo della costituzione dell’ O.I.V. è allo studio la fattibilità di costituzione di un analogo organismo. Quanto sopra anche ai sensi dell’art. 2 comma 2-bis del DL 31 agosto 2013, n. 101 “Disposizioni urgenti per il perseguimento di obiettivi di razionalizzazione nelle pubbliche amministrazioni” – convertito con modificazioni dalla L. 30 ottobre 2013, n. 125 (in G.U. 30/10/2013, n.255 (cit.“Art.2-bis. Gli ordini, i collegi professionali, i relativi organismi nazionali e gli enti aventi natura associativa, con propri regolamenti, si adeguano, tenendo conto delle relative peculiarità, ai principi del decreto legislativo 30 marzo 2001, n. 165, ad eccezione dell’articolo 4, del decreto legislativo 27 ottobre 2009, n. 150, ad eccezione dell’articolo 14, nonché delle disposizioni di cui al titolo III e ai principi generali di razionalizzazione e contenimento della spesa, in quanto non gravanti sulla finanza pubblica</w:t>
      </w: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